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widowControl w:val="0"/>
        <w:spacing w:before="0" w:after="0"/>
        <w:ind w:left="0" w:right="0" w:firstLine="0"/>
        <w:jc w:val="center"/>
      </w:pPr>
    </w:p>
    <w:p>
      <w:pPr>
        <w:pStyle w:val="normal.0"/>
        <w:widowControl w:val="0"/>
        <w:spacing w:before="0" w:after="0"/>
        <w:ind w:left="0" w:right="0" w:firstLine="0"/>
        <w:jc w:val="center"/>
      </w:pPr>
    </w:p>
    <w:tbl>
      <w:tblPr>
        <w:tblW w:w="936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360"/>
      </w:tblGrid>
      <w:tr>
        <w:tblPrEx>
          <w:shd w:val="clear" w:color="auto" w:fill="ced7e7"/>
        </w:tblPrEx>
        <w:trPr>
          <w:trHeight w:val="440" w:hRule="atLeast"/>
        </w:trPr>
        <w:tc>
          <w:tcPr>
            <w:tcW w:type="dxa" w:w="9360"/>
            <w:tcBorders>
              <w:top w:val="nil"/>
              <w:left w:val="nil"/>
              <w:bottom w:val="nil"/>
              <w:right w:val="nil"/>
            </w:tcBorders>
            <w:shd w:val="clear" w:color="auto" w:fill="ffffff"/>
            <w:tcMar>
              <w:top w:type="dxa" w:w="80"/>
              <w:left w:type="dxa" w:w="80"/>
              <w:bottom w:type="dxa" w:w="80"/>
              <w:right w:type="dxa" w:w="80"/>
            </w:tcMar>
            <w:vAlign w:val="top"/>
          </w:tcPr>
          <w:p>
            <w:pPr>
              <w:pStyle w:val="normal.0"/>
              <w:widowControl w:val="0"/>
              <w:spacing w:before="0" w:after="0"/>
              <w:ind w:left="0" w:right="0" w:firstLine="0"/>
              <w:jc w:val="center"/>
            </w:pPr>
            <w:r>
              <w:rPr>
                <w:rFonts w:ascii="Verdana" w:hAnsi="Verdana"/>
                <w:b w:val="1"/>
                <w:bCs w:val="1"/>
                <w:outline w:val="0"/>
                <w:color w:val="0b5394"/>
                <w:sz w:val="36"/>
                <w:szCs w:val="36"/>
                <w:u w:color="0b5394"/>
                <w14:textFill>
                  <w14:solidFill>
                    <w14:srgbClr w14:val="0B5394"/>
                  </w14:solidFill>
                </w14:textFill>
              </w:rPr>
              <w:t>Birthday Fundraiser Inc.</w:t>
            </w:r>
          </w:p>
        </w:tc>
      </w:tr>
    </w:tbl>
    <w:p>
      <w:pPr>
        <w:pStyle w:val="normal.0"/>
        <w:widowControl w:val="0"/>
        <w:spacing w:before="0" w:after="0"/>
        <w:ind w:left="0" w:right="0" w:firstLine="0"/>
        <w:jc w:val="center"/>
      </w:pPr>
    </w:p>
    <w:p>
      <w:pPr>
        <w:pStyle w:val="normal.0"/>
        <w:widowControl w:val="0"/>
        <w:spacing w:before="0" w:after="0"/>
        <w:ind w:left="0" w:right="0" w:firstLine="0"/>
      </w:pPr>
    </w:p>
    <w:p>
      <w:pPr>
        <w:pStyle w:val="normal.0"/>
        <w:widowControl w:val="0"/>
        <w:spacing w:before="0" w:after="0"/>
        <w:ind w:left="0" w:right="0" w:firstLine="0"/>
      </w:pPr>
    </w:p>
    <w:tbl>
      <w:tblPr>
        <w:tblW w:w="93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680"/>
        <w:gridCol w:w="4680"/>
      </w:tblGrid>
      <w:tr>
        <w:tblPrEx>
          <w:shd w:val="clear" w:color="auto" w:fill="ced7e7"/>
        </w:tblPrEx>
        <w:trPr>
          <w:trHeight w:val="240" w:hRule="atLeast"/>
        </w:trPr>
        <w:tc>
          <w:tcPr>
            <w:tcW w:type="dxa" w:w="4680"/>
            <w:tcBorders>
              <w:top w:val="nil"/>
              <w:left w:val="nil"/>
              <w:bottom w:val="nil"/>
              <w:right w:val="nil"/>
            </w:tcBorders>
            <w:shd w:val="clear" w:color="auto" w:fill="ffffff"/>
            <w:tcMar>
              <w:top w:type="dxa" w:w="80"/>
              <w:left w:type="dxa" w:w="80"/>
              <w:bottom w:type="dxa" w:w="80"/>
              <w:right w:type="dxa" w:w="80"/>
            </w:tcMar>
            <w:vAlign w:val="top"/>
          </w:tcPr>
          <w:p>
            <w:pPr>
              <w:pStyle w:val="normal.0"/>
              <w:widowControl w:val="0"/>
              <w:spacing w:before="0" w:after="0"/>
              <w:ind w:left="0" w:right="0" w:firstLine="0"/>
            </w:pPr>
            <w:r>
              <w:rPr>
                <w:shd w:val="nil" w:color="auto" w:fill="auto"/>
                <w:rtl w:val="0"/>
                <w:lang w:val="en-US"/>
              </w:rPr>
              <w:t>Contact:</w:t>
            </w:r>
            <w:r>
              <w:rPr>
                <w:shd w:val="nil" w:color="auto" w:fill="auto"/>
                <w:rtl w:val="0"/>
                <w:lang w:val="en-US"/>
              </w:rPr>
              <w:t xml:space="preserve">  </w:t>
            </w:r>
            <w:r>
              <w:rPr>
                <w:shd w:val="nil" w:color="auto" w:fill="auto"/>
                <w:rtl w:val="0"/>
                <w:lang w:val="en-US"/>
              </w:rPr>
              <w:t xml:space="preserve">Rhiannon </w:t>
            </w:r>
            <w:r>
              <w:rPr>
                <w:shd w:val="nil" w:color="auto" w:fill="auto"/>
                <w:rtl w:val="0"/>
                <w:lang w:val="en-US"/>
              </w:rPr>
              <w:t>“</w:t>
            </w:r>
            <w:r>
              <w:rPr>
                <w:shd w:val="nil" w:color="auto" w:fill="auto"/>
                <w:rtl w:val="0"/>
                <w:lang w:val="en-US"/>
              </w:rPr>
              <w:t>Nikki</w:t>
            </w:r>
            <w:r>
              <w:rPr>
                <w:shd w:val="nil" w:color="auto" w:fill="auto"/>
                <w:rtl w:val="0"/>
                <w:lang w:val="en-US"/>
              </w:rPr>
              <w:t xml:space="preserve">” </w:t>
            </w:r>
            <w:r>
              <w:rPr>
                <w:shd w:val="nil" w:color="auto" w:fill="auto"/>
                <w:rtl w:val="0"/>
                <w:lang w:val="en-US"/>
              </w:rPr>
              <w:t>McFarling</w:t>
            </w:r>
          </w:p>
        </w:tc>
        <w:tc>
          <w:tcPr>
            <w:tcW w:type="dxa" w:w="4680"/>
            <w:tcBorders>
              <w:top w:val="nil"/>
              <w:left w:val="nil"/>
              <w:bottom w:val="nil"/>
              <w:right w:val="nil"/>
            </w:tcBorders>
            <w:shd w:val="clear" w:color="auto" w:fill="ffffff"/>
            <w:tcMar>
              <w:top w:type="dxa" w:w="80"/>
              <w:left w:type="dxa" w:w="80"/>
              <w:bottom w:type="dxa" w:w="80"/>
              <w:right w:type="dxa" w:w="80"/>
            </w:tcMar>
            <w:vAlign w:val="top"/>
          </w:tcPr>
          <w:p>
            <w:pPr>
              <w:pStyle w:val="normal.0"/>
              <w:widowControl w:val="0"/>
              <w:spacing w:before="0" w:after="0"/>
              <w:ind w:left="0" w:right="0" w:firstLine="0"/>
              <w:jc w:val="right"/>
            </w:pPr>
            <w:r>
              <w:rPr>
                <w:shd w:val="nil" w:color="auto" w:fill="auto"/>
                <w:rtl w:val="0"/>
                <w:lang w:val="en-US"/>
              </w:rPr>
              <w:t>For Immediate Release</w:t>
            </w:r>
          </w:p>
        </w:tc>
      </w:tr>
      <w:tr>
        <w:tblPrEx>
          <w:shd w:val="clear" w:color="auto" w:fill="ced7e7"/>
        </w:tblPrEx>
        <w:trPr>
          <w:trHeight w:val="240" w:hRule="atLeast"/>
        </w:trPr>
        <w:tc>
          <w:tcPr>
            <w:tcW w:type="dxa" w:w="4680"/>
            <w:tcBorders>
              <w:top w:val="nil"/>
              <w:left w:val="nil"/>
              <w:bottom w:val="nil"/>
              <w:right w:val="nil"/>
            </w:tcBorders>
            <w:shd w:val="clear" w:color="auto" w:fill="ffffff"/>
            <w:tcMar>
              <w:top w:type="dxa" w:w="80"/>
              <w:left w:type="dxa" w:w="80"/>
              <w:bottom w:type="dxa" w:w="80"/>
              <w:right w:type="dxa" w:w="80"/>
            </w:tcMar>
            <w:vAlign w:val="top"/>
          </w:tcPr>
          <w:p>
            <w:pPr>
              <w:pStyle w:val="normal.0"/>
              <w:widowControl w:val="0"/>
              <w:spacing w:before="0" w:after="0"/>
              <w:ind w:left="0" w:right="0" w:firstLine="0"/>
            </w:pPr>
            <w:r>
              <w:rPr>
                <w:rtl w:val="0"/>
                <w:lang w:val="en-US"/>
              </w:rPr>
              <w:t>Phone Number</w:t>
            </w:r>
            <w:r>
              <w:rPr>
                <w:shd w:val="nil" w:color="auto" w:fill="auto"/>
                <w:rtl w:val="0"/>
                <w:lang w:val="en-US"/>
              </w:rPr>
              <w:t>:</w:t>
            </w:r>
            <w:r>
              <w:rPr>
                <w:shd w:val="nil" w:color="auto" w:fill="auto"/>
                <w:rtl w:val="0"/>
                <w:lang w:val="en-US"/>
              </w:rPr>
              <w:t xml:space="preserve">  </w:t>
            </w:r>
            <w:r>
              <w:rPr>
                <w:shd w:val="nil" w:color="auto" w:fill="auto"/>
                <w:rtl w:val="0"/>
                <w:lang w:val="en-US"/>
              </w:rPr>
              <w:t>(561) 510-6454</w:t>
            </w:r>
          </w:p>
        </w:tc>
        <w:tc>
          <w:tcPr>
            <w:tcW w:type="dxa" w:w="4680"/>
            <w:tcBorders>
              <w:top w:val="nil"/>
              <w:left w:val="nil"/>
              <w:bottom w:val="nil"/>
              <w:right w:val="nil"/>
            </w:tcBorders>
            <w:shd w:val="clear" w:color="auto" w:fill="ffffff"/>
            <w:tcMar>
              <w:top w:type="dxa" w:w="80"/>
              <w:left w:type="dxa" w:w="80"/>
              <w:bottom w:type="dxa" w:w="80"/>
              <w:right w:type="dxa" w:w="80"/>
            </w:tcMar>
            <w:vAlign w:val="top"/>
          </w:tcPr>
          <w:p/>
        </w:tc>
      </w:tr>
      <w:tr>
        <w:tblPrEx>
          <w:shd w:val="clear" w:color="auto" w:fill="ced7e7"/>
        </w:tblPrEx>
        <w:trPr>
          <w:trHeight w:val="240" w:hRule="atLeast"/>
        </w:trPr>
        <w:tc>
          <w:tcPr>
            <w:tcW w:type="dxa" w:w="4680"/>
            <w:tcBorders>
              <w:top w:val="nil"/>
              <w:left w:val="nil"/>
              <w:bottom w:val="nil"/>
              <w:right w:val="nil"/>
            </w:tcBorders>
            <w:shd w:val="clear" w:color="auto" w:fill="ffffff"/>
            <w:tcMar>
              <w:top w:type="dxa" w:w="80"/>
              <w:left w:type="dxa" w:w="80"/>
              <w:bottom w:type="dxa" w:w="80"/>
              <w:right w:type="dxa" w:w="80"/>
            </w:tcMar>
            <w:vAlign w:val="top"/>
          </w:tcPr>
          <w:p>
            <w:pPr>
              <w:pStyle w:val="normal.0"/>
              <w:widowControl w:val="0"/>
              <w:spacing w:before="0" w:after="0"/>
              <w:ind w:left="0" w:right="0" w:firstLine="0"/>
            </w:pPr>
            <w:r>
              <w:rPr>
                <w:rtl w:val="0"/>
                <w:lang w:val="en-US"/>
              </w:rPr>
              <w:t>Websit</w:t>
            </w:r>
            <w:r>
              <w:rPr>
                <w:shd w:val="nil" w:color="auto" w:fill="auto"/>
                <w:rtl w:val="0"/>
                <w:lang w:val="en-US"/>
              </w:rPr>
              <w:t>e:</w:t>
            </w:r>
            <w:r>
              <w:rPr>
                <w:shd w:val="nil" w:color="auto" w:fill="auto"/>
                <w:rtl w:val="0"/>
                <w:lang w:val="en-US"/>
              </w:rPr>
              <w:t xml:space="preserve">  </w:t>
            </w:r>
            <w:r>
              <w:rPr>
                <w:rStyle w:val="Hyperlink.0"/>
              </w:rPr>
              <w:fldChar w:fldCharType="begin" w:fldLock="0"/>
            </w:r>
            <w:r>
              <w:rPr>
                <w:rStyle w:val="Hyperlink.0"/>
              </w:rPr>
              <w:instrText xml:space="preserve"> HYPERLINK "http://XmasInJuly.org"</w:instrText>
            </w:r>
            <w:r>
              <w:rPr>
                <w:rStyle w:val="Hyperlink.0"/>
              </w:rPr>
              <w:fldChar w:fldCharType="separate" w:fldLock="0"/>
            </w:r>
            <w:r>
              <w:rPr>
                <w:rStyle w:val="Hyperlink.0"/>
                <w:rtl w:val="0"/>
                <w:lang w:val="en-US"/>
              </w:rPr>
              <w:t>XmasInJuly.org</w:t>
            </w:r>
            <w:r>
              <w:rPr/>
              <w:fldChar w:fldCharType="end" w:fldLock="0"/>
            </w:r>
          </w:p>
        </w:tc>
        <w:tc>
          <w:tcPr>
            <w:tcW w:type="dxa" w:w="4680"/>
            <w:tcBorders>
              <w:top w:val="nil"/>
              <w:left w:val="nil"/>
              <w:bottom w:val="nil"/>
              <w:right w:val="nil"/>
            </w:tcBorders>
            <w:shd w:val="clear" w:color="auto" w:fill="ffffff"/>
            <w:tcMar>
              <w:top w:type="dxa" w:w="80"/>
              <w:left w:type="dxa" w:w="80"/>
              <w:bottom w:type="dxa" w:w="80"/>
              <w:right w:type="dxa" w:w="80"/>
            </w:tcMar>
            <w:vAlign w:val="top"/>
          </w:tcPr>
          <w:p/>
        </w:tc>
      </w:tr>
      <w:tr>
        <w:tblPrEx>
          <w:shd w:val="clear" w:color="auto" w:fill="ced7e7"/>
        </w:tblPrEx>
        <w:trPr>
          <w:trHeight w:val="240" w:hRule="atLeast"/>
        </w:trPr>
        <w:tc>
          <w:tcPr>
            <w:tcW w:type="dxa" w:w="4680"/>
            <w:tcBorders>
              <w:top w:val="nil"/>
              <w:left w:val="nil"/>
              <w:bottom w:val="nil"/>
              <w:right w:val="nil"/>
            </w:tcBorders>
            <w:shd w:val="clear" w:color="auto" w:fill="ffffff"/>
            <w:tcMar>
              <w:top w:type="dxa" w:w="80"/>
              <w:left w:type="dxa" w:w="80"/>
              <w:bottom w:type="dxa" w:w="80"/>
              <w:right w:type="dxa" w:w="80"/>
            </w:tcMar>
            <w:vAlign w:val="top"/>
          </w:tcPr>
          <w:p>
            <w:pPr>
              <w:pStyle w:val="normal.0"/>
              <w:widowControl w:val="0"/>
              <w:spacing w:before="0" w:after="0"/>
              <w:ind w:left="0" w:right="0" w:firstLine="0"/>
            </w:pPr>
            <w:r>
              <w:rPr>
                <w:shd w:val="nil" w:color="auto" w:fill="auto"/>
                <w:rtl w:val="0"/>
                <w:lang w:val="en-US"/>
              </w:rPr>
              <w:t>Email:</w:t>
            </w:r>
            <w:r>
              <w:rPr>
                <w:shd w:val="nil" w:color="auto" w:fill="auto"/>
                <w:rtl w:val="0"/>
                <w:lang w:val="en-US"/>
              </w:rPr>
              <w:t xml:space="preserve">  </w:t>
            </w:r>
            <w:r>
              <w:rPr>
                <w:rStyle w:val="Hyperlink.0"/>
              </w:rPr>
              <w:fldChar w:fldCharType="begin" w:fldLock="0"/>
            </w:r>
            <w:r>
              <w:rPr>
                <w:rStyle w:val="Hyperlink.0"/>
              </w:rPr>
              <w:instrText xml:space="preserve"> HYPERLINK "mailto:NikkiMcFarling@gmail.com"</w:instrText>
            </w:r>
            <w:r>
              <w:rPr>
                <w:rStyle w:val="Hyperlink.0"/>
              </w:rPr>
              <w:fldChar w:fldCharType="separate" w:fldLock="0"/>
            </w:r>
            <w:r>
              <w:rPr>
                <w:rStyle w:val="Hyperlink.0"/>
                <w:rtl w:val="0"/>
                <w:lang w:val="en-US"/>
              </w:rPr>
              <w:t>NikkiMcFarling@gmail.com</w:t>
            </w:r>
            <w:r>
              <w:rPr/>
              <w:fldChar w:fldCharType="end" w:fldLock="0"/>
            </w:r>
          </w:p>
        </w:tc>
        <w:tc>
          <w:tcPr>
            <w:tcW w:type="dxa" w:w="4680"/>
            <w:tcBorders>
              <w:top w:val="nil"/>
              <w:left w:val="nil"/>
              <w:bottom w:val="nil"/>
              <w:right w:val="nil"/>
            </w:tcBorders>
            <w:shd w:val="clear" w:color="auto" w:fill="ffffff"/>
            <w:tcMar>
              <w:top w:type="dxa" w:w="80"/>
              <w:left w:type="dxa" w:w="80"/>
              <w:bottom w:type="dxa" w:w="80"/>
              <w:right w:type="dxa" w:w="80"/>
            </w:tcMar>
            <w:vAlign w:val="top"/>
          </w:tcPr>
          <w:p/>
        </w:tc>
      </w:tr>
    </w:tbl>
    <w:p>
      <w:pPr>
        <w:pStyle w:val="normal.0"/>
        <w:widowControl w:val="0"/>
        <w:spacing w:before="0" w:after="0"/>
        <w:ind w:left="0" w:right="0" w:firstLine="0"/>
      </w:pPr>
    </w:p>
    <w:p>
      <w:pPr>
        <w:pStyle w:val="normal.0"/>
        <w:widowControl w:val="0"/>
        <w:spacing w:before="0" w:after="0"/>
        <w:ind w:left="0" w:right="0" w:firstLine="0"/>
        <w:jc w:val="center"/>
      </w:pPr>
    </w:p>
    <w:tbl>
      <w:tblPr>
        <w:tblW w:w="936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360"/>
      </w:tblGrid>
      <w:tr>
        <w:tblPrEx>
          <w:shd w:val="clear" w:color="auto" w:fill="ced7e7"/>
        </w:tblPrEx>
        <w:trPr>
          <w:trHeight w:val="340" w:hRule="atLeast"/>
        </w:trPr>
        <w:tc>
          <w:tcPr>
            <w:tcW w:type="dxa" w:w="9360"/>
            <w:tcBorders>
              <w:top w:val="nil"/>
              <w:left w:val="nil"/>
              <w:bottom w:val="nil"/>
              <w:right w:val="nil"/>
            </w:tcBorders>
            <w:shd w:val="clear" w:color="auto" w:fill="ffffff"/>
            <w:tcMar>
              <w:top w:type="dxa" w:w="80"/>
              <w:left w:type="dxa" w:w="80"/>
              <w:bottom w:type="dxa" w:w="80"/>
              <w:right w:type="dxa" w:w="80"/>
            </w:tcMar>
            <w:vAlign w:val="top"/>
          </w:tcPr>
          <w:p>
            <w:pPr>
              <w:pStyle w:val="normal.0"/>
              <w:widowControl w:val="0"/>
              <w:spacing w:before="0" w:after="0"/>
              <w:ind w:left="0" w:right="0" w:firstLine="0"/>
              <w:jc w:val="center"/>
            </w:pPr>
            <w:r>
              <w:rPr>
                <w:rFonts w:ascii="Verdana" w:hAnsi="Verdana"/>
                <w:outline w:val="0"/>
                <w:color w:val="0b5394"/>
                <w:sz w:val="28"/>
                <w:szCs w:val="28"/>
                <w:u w:color="0b5394"/>
                <w14:textFill>
                  <w14:solidFill>
                    <w14:srgbClr w14:val="0B5394"/>
                  </w14:solidFill>
                </w14:textFill>
              </w:rPr>
              <w:t>Birthday Fundraiser Inc. Producing Free Positive Focused Event</w:t>
            </w:r>
          </w:p>
        </w:tc>
      </w:tr>
      <w:tr>
        <w:tblPrEx>
          <w:shd w:val="clear" w:color="auto" w:fill="ced7e7"/>
        </w:tblPrEx>
        <w:trPr>
          <w:trHeight w:val="300" w:hRule="atLeast"/>
        </w:trPr>
        <w:tc>
          <w:tcPr>
            <w:tcW w:type="dxa" w:w="9360"/>
            <w:tcBorders>
              <w:top w:val="nil"/>
              <w:left w:val="nil"/>
              <w:bottom w:val="nil"/>
              <w:right w:val="nil"/>
            </w:tcBorders>
            <w:shd w:val="clear" w:color="auto" w:fill="ffffff"/>
            <w:tcMar>
              <w:top w:type="dxa" w:w="80"/>
              <w:left w:type="dxa" w:w="80"/>
              <w:bottom w:type="dxa" w:w="80"/>
              <w:right w:type="dxa" w:w="80"/>
            </w:tcMar>
            <w:vAlign w:val="top"/>
          </w:tcPr>
          <w:p>
            <w:pPr>
              <w:pStyle w:val="normal.0"/>
              <w:widowControl w:val="0"/>
              <w:spacing w:before="0" w:after="0"/>
              <w:ind w:left="0" w:right="0" w:firstLine="0"/>
              <w:jc w:val="center"/>
            </w:pPr>
            <w:r>
              <w:rPr>
                <w:rFonts w:ascii="Verdana" w:hAnsi="Verdana"/>
                <w:sz w:val="24"/>
                <w:szCs w:val="24"/>
              </w:rPr>
              <w:t>Demonstrating its mission to inspire today</w:t>
            </w:r>
            <w:r>
              <w:rPr>
                <w:rFonts w:ascii="Verdana" w:hAnsi="Verdana" w:hint="default"/>
                <w:sz w:val="24"/>
                <w:szCs w:val="24"/>
              </w:rPr>
              <w:t>’</w:t>
            </w:r>
            <w:r>
              <w:rPr>
                <w:rFonts w:ascii="Verdana" w:hAnsi="Verdana"/>
                <w:sz w:val="24"/>
                <w:szCs w:val="24"/>
              </w:rPr>
              <w:t>s youth</w:t>
            </w:r>
          </w:p>
        </w:tc>
      </w:tr>
    </w:tbl>
    <w:p>
      <w:pPr>
        <w:pStyle w:val="normal.0"/>
        <w:widowControl w:val="0"/>
        <w:spacing w:before="0" w:after="0"/>
        <w:ind w:left="0" w:right="0" w:firstLine="0"/>
        <w:jc w:val="center"/>
      </w:pPr>
    </w:p>
    <w:p>
      <w:pPr>
        <w:pStyle w:val="normal.0"/>
        <w:widowControl w:val="0"/>
        <w:spacing w:before="0" w:after="0"/>
        <w:ind w:left="0" w:right="0" w:firstLine="0"/>
        <w:jc w:val="center"/>
      </w:pPr>
    </w:p>
    <w:tbl>
      <w:tblPr>
        <w:tblW w:w="936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360"/>
      </w:tblGrid>
      <w:tr>
        <w:tblPrEx>
          <w:shd w:val="clear" w:color="auto" w:fill="ced7e7"/>
        </w:tblPrEx>
        <w:trPr>
          <w:trHeight w:val="7920" w:hRule="atLeast"/>
        </w:trPr>
        <w:tc>
          <w:tcPr>
            <w:tcW w:type="dxa" w:w="9360"/>
            <w:tcBorders>
              <w:top w:val="nil"/>
              <w:left w:val="nil"/>
              <w:bottom w:val="nil"/>
              <w:right w:val="nil"/>
            </w:tcBorders>
            <w:shd w:val="clear" w:color="auto" w:fill="ffffff"/>
            <w:tcMar>
              <w:top w:type="dxa" w:w="80"/>
              <w:left w:type="dxa" w:w="80"/>
              <w:bottom w:type="dxa" w:w="80"/>
              <w:right w:type="dxa" w:w="80"/>
            </w:tcMar>
            <w:vAlign w:val="top"/>
          </w:tcPr>
          <w:p>
            <w:pPr>
              <w:pStyle w:val="normal.0"/>
              <w:widowControl w:val="0"/>
              <w:spacing w:before="0" w:after="0"/>
              <w:ind w:left="0" w:right="0" w:firstLine="0"/>
              <w:rPr>
                <w:shd w:val="nil" w:color="auto" w:fill="auto"/>
                <w:lang w:val="en-US"/>
              </w:rPr>
            </w:pPr>
            <w:r>
              <w:rPr>
                <w:rtl w:val="0"/>
                <w:lang w:val="en-US"/>
              </w:rPr>
              <w:t xml:space="preserve">Tampa, Florida - </w:t>
            </w:r>
            <w:r>
              <w:rPr>
                <w:shd w:val="nil" w:color="auto" w:fill="auto"/>
                <w:rtl w:val="0"/>
                <w:lang w:val="en-US"/>
              </w:rPr>
              <w:t>Birthday Fundraiser Inc. has partnered with another local nonprofit to produce a Xmas in July community event. The Angelus is hosting the free event on its 17 acres of land. Xmas in July will take place from 4-7pm at 12413 Hudson ave in Hudson Florida on Friday July 8th. Dozens of local businesses will be on-site donating their time, resources and energy to creating a free event. One Blood will be conducting a blood drive along with multiple Pasco County government representatives to engage &amp; connect with the community, such as the Pasco County Sheriff</w:t>
            </w:r>
            <w:r>
              <w:rPr>
                <w:shd w:val="nil" w:color="auto" w:fill="auto"/>
                <w:rtl w:val="0"/>
                <w:lang w:val="en-US"/>
              </w:rPr>
              <w:t>’</w:t>
            </w:r>
            <w:r>
              <w:rPr>
                <w:shd w:val="nil" w:color="auto" w:fill="auto"/>
                <w:rtl w:val="0"/>
                <w:lang w:val="en-US"/>
              </w:rPr>
              <w:t>s Office  Therapy K9 named Mango.</w:t>
            </w:r>
          </w:p>
          <w:p>
            <w:pPr>
              <w:pStyle w:val="normal.0"/>
              <w:widowControl w:val="0"/>
              <w:spacing w:before="0" w:after="0"/>
              <w:ind w:left="0" w:right="0" w:firstLine="0"/>
              <w:rPr>
                <w:shd w:val="nil" w:color="auto" w:fill="auto"/>
                <w:lang w:val="en-US"/>
              </w:rPr>
            </w:pPr>
          </w:p>
          <w:p>
            <w:pPr>
              <w:pStyle w:val="normal.0"/>
              <w:widowControl w:val="0"/>
              <w:spacing w:before="0" w:after="0"/>
              <w:ind w:left="0" w:right="0" w:firstLine="0"/>
              <w:rPr>
                <w:shd w:val="nil" w:color="auto" w:fill="auto"/>
                <w:lang w:val="en-US"/>
              </w:rPr>
            </w:pPr>
            <w:r>
              <w:rPr>
                <w:shd w:val="nil" w:color="auto" w:fill="auto"/>
                <w:rtl w:val="0"/>
                <w:lang w:val="en-US"/>
              </w:rPr>
              <w:t>Xmas in July is the only event where a fundraiser is included to benefit Birthday Fundraiser Inc. The main focus of the event is to create a positive environment and inspire individuals to help other individuals. Businesses involved with the event either donate materials, or services. Small local businesses who are unable to make a in-kind donation towards producing the event, instead make a monetary donation to The Angelus after the event ends. Their donation is based on their own desire and ability. The concept is to have no one coming into the event starting in a negative.</w:t>
            </w:r>
          </w:p>
          <w:p>
            <w:pPr>
              <w:pStyle w:val="normal.0"/>
              <w:widowControl w:val="0"/>
              <w:spacing w:before="0" w:after="0"/>
              <w:ind w:left="0" w:right="0" w:firstLine="0"/>
              <w:rPr>
                <w:shd w:val="nil" w:color="auto" w:fill="auto"/>
                <w:lang w:val="en-US"/>
              </w:rPr>
            </w:pPr>
          </w:p>
          <w:p>
            <w:pPr>
              <w:pStyle w:val="normal.0"/>
              <w:widowControl w:val="0"/>
              <w:spacing w:before="0" w:after="0"/>
              <w:ind w:left="0" w:right="0" w:firstLine="0"/>
              <w:rPr>
                <w:shd w:val="nil" w:color="auto" w:fill="auto"/>
                <w:lang w:val="en-US"/>
              </w:rPr>
            </w:pPr>
            <w:r>
              <w:rPr>
                <w:shd w:val="nil" w:color="auto" w:fill="auto"/>
                <w:rtl w:val="0"/>
                <w:lang w:val="en-US"/>
              </w:rPr>
              <w:t>Funds from the Xmas Gift Raffle will be used to cover yearly administrative costs for Birthday Fundraiser Inc, along with used to cover future events incidentals</w:t>
            </w:r>
            <w:r>
              <w:rPr>
                <w:rtl w:val="0"/>
                <w:lang w:val="en-US"/>
              </w:rPr>
              <w:t>. The next free event will be on Saturday November 5th for Alexandria</w:t>
            </w:r>
            <w:r>
              <w:rPr>
                <w:rtl w:val="0"/>
                <w:lang w:val="en-US"/>
              </w:rPr>
              <w:t>’</w:t>
            </w:r>
            <w:r>
              <w:rPr>
                <w:rtl w:val="0"/>
                <w:lang w:val="en-US"/>
              </w:rPr>
              <w:t xml:space="preserve">s Second Birthday Fundraiser. Proceeds from the Birthday Gift Raffle in November will be donated to Fostering Change Foster Closet. Both raffles have high value raffles from variety of sponsors plus a huge mystery raffle featuring local businesses donating items valued between $10-$35. Xmas in July currently has 15 high value raffle sponsors and the mystery raffle will have over 75 different winners. Donations for raffle tickets will be made available online at </w:t>
            </w:r>
            <w:r>
              <w:rPr>
                <w:rStyle w:val="Hyperlink.0"/>
              </w:rPr>
              <w:fldChar w:fldCharType="begin" w:fldLock="0"/>
            </w:r>
            <w:r>
              <w:rPr>
                <w:rStyle w:val="Hyperlink.0"/>
              </w:rPr>
              <w:instrText xml:space="preserve"> HYPERLINK "http://XmasInJuly.org"</w:instrText>
            </w:r>
            <w:r>
              <w:rPr>
                <w:rStyle w:val="Hyperlink.0"/>
              </w:rPr>
              <w:fldChar w:fldCharType="separate" w:fldLock="0"/>
            </w:r>
            <w:r>
              <w:rPr>
                <w:rStyle w:val="Hyperlink.0"/>
                <w:rtl w:val="0"/>
                <w:lang w:val="en-US"/>
              </w:rPr>
              <w:t>XmasInJuly.org</w:t>
            </w:r>
            <w:r>
              <w:rPr/>
              <w:fldChar w:fldCharType="end" w:fldLock="0"/>
            </w:r>
            <w:r>
              <w:rPr>
                <w:rtl w:val="0"/>
                <w:lang w:val="en-US"/>
              </w:rPr>
              <w:t xml:space="preserve"> on July 6th at only $1 for a high value ticket and two tickets for the mystery raffle for just $1.</w:t>
            </w:r>
          </w:p>
          <w:p>
            <w:pPr>
              <w:pStyle w:val="normal.0"/>
              <w:widowControl w:val="0"/>
              <w:spacing w:before="0" w:after="0"/>
              <w:ind w:left="0" w:right="0" w:firstLine="0"/>
              <w:rPr>
                <w:shd w:val="nil" w:color="auto" w:fill="auto"/>
                <w:lang w:val="en-US"/>
              </w:rPr>
            </w:pPr>
          </w:p>
          <w:p>
            <w:pPr>
              <w:pStyle w:val="normal.0"/>
              <w:widowControl w:val="0"/>
              <w:spacing w:before="0" w:after="0"/>
              <w:ind w:left="0" w:right="0" w:firstLine="0"/>
            </w:pPr>
            <w:r>
              <w:rPr>
                <w:shd w:val="nil" w:color="auto" w:fill="auto"/>
                <w:rtl w:val="0"/>
                <w:lang w:val="en-US"/>
              </w:rPr>
              <w:t xml:space="preserve">Birthday Fundraiser Inc. was founded in 2021 by Rhiannon </w:t>
            </w:r>
            <w:r>
              <w:rPr>
                <w:shd w:val="nil" w:color="auto" w:fill="auto"/>
                <w:rtl w:val="0"/>
                <w:lang w:val="en-US"/>
              </w:rPr>
              <w:t>“</w:t>
            </w:r>
            <w:r>
              <w:rPr>
                <w:shd w:val="nil" w:color="auto" w:fill="auto"/>
                <w:rtl w:val="0"/>
                <w:lang w:val="en-US"/>
              </w:rPr>
              <w:t>Nikki</w:t>
            </w:r>
            <w:r>
              <w:rPr>
                <w:shd w:val="nil" w:color="auto" w:fill="auto"/>
                <w:rtl w:val="0"/>
                <w:lang w:val="en-US"/>
              </w:rPr>
              <w:t xml:space="preserve">” </w:t>
            </w:r>
            <w:r>
              <w:rPr>
                <w:shd w:val="nil" w:color="auto" w:fill="auto"/>
                <w:rtl w:val="0"/>
                <w:lang w:val="en-US"/>
              </w:rPr>
              <w:t>McFarling and was granted tax exempt status as a 501(c)3 organization. The mission statement of Birthday Fundraiser Inc is to inspire today</w:t>
            </w:r>
            <w:r>
              <w:rPr>
                <w:shd w:val="nil" w:color="auto" w:fill="auto"/>
                <w:rtl w:val="0"/>
                <w:lang w:val="en-US"/>
              </w:rPr>
              <w:t>’</w:t>
            </w:r>
            <w:r>
              <w:rPr>
                <w:shd w:val="nil" w:color="auto" w:fill="auto"/>
                <w:rtl w:val="0"/>
                <w:lang w:val="en-US"/>
              </w:rPr>
              <w:t>s youth to make a positive difference in the world around them. This mission is accomplished by providing motivational speaking to youth organizations, giving out inspirational wristbands and producing free community events.  It is about using our skills, talents and abilities to create a more positive world.</w:t>
            </w:r>
          </w:p>
        </w:tc>
      </w:tr>
    </w:tbl>
    <w:p>
      <w:pPr>
        <w:pStyle w:val="normal.0"/>
        <w:widowControl w:val="0"/>
        <w:spacing w:before="0" w:after="0"/>
        <w:ind w:left="0" w:right="0" w:firstLine="0"/>
        <w:jc w:val="center"/>
      </w:pPr>
    </w:p>
    <w:p>
      <w:pPr>
        <w:pStyle w:val="normal.0"/>
        <w:widowControl w:val="0"/>
        <w:spacing w:before="0" w:after="0"/>
        <w:ind w:left="0" w:right="0" w:firstLine="0"/>
      </w:pPr>
    </w:p>
    <w:p>
      <w:pPr>
        <w:pStyle w:val="normal.0"/>
        <w:widowControl w:val="0"/>
        <w:spacing w:before="0" w:after="0"/>
        <w:ind w:left="0" w:right="0" w:firstLine="0"/>
        <w:jc w:val="center"/>
      </w:pPr>
      <w:r>
        <w:rPr>
          <w:rtl w:val="0"/>
          <w:lang w:val="en-US"/>
        </w:rPr>
        <w:t>###</w:t>
      </w:r>
    </w:p>
    <w:tbl>
      <w:tblPr>
        <w:tblW w:w="93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360"/>
      </w:tblGrid>
      <w:tr>
        <w:tblPrEx>
          <w:shd w:val="clear" w:color="auto" w:fill="ced7e7"/>
        </w:tblPrEx>
        <w:trPr>
          <w:trHeight w:val="480" w:hRule="atLeast"/>
        </w:trPr>
        <w:tc>
          <w:tcPr>
            <w:tcW w:type="dxa" w:w="9360"/>
            <w:tcBorders>
              <w:top w:val="nil"/>
              <w:left w:val="nil"/>
              <w:bottom w:val="nil"/>
              <w:right w:val="nil"/>
            </w:tcBorders>
            <w:shd w:val="clear" w:color="auto" w:fill="ffffff"/>
            <w:tcMar>
              <w:top w:type="dxa" w:w="80"/>
              <w:left w:type="dxa" w:w="80"/>
              <w:bottom w:type="dxa" w:w="80"/>
              <w:right w:type="dxa" w:w="80"/>
            </w:tcMar>
            <w:vAlign w:val="top"/>
          </w:tcPr>
          <w:p>
            <w:pPr>
              <w:pStyle w:val="normal.0"/>
              <w:widowControl w:val="0"/>
              <w:spacing w:before="0" w:after="0"/>
              <w:ind w:left="0" w:right="0" w:firstLine="0"/>
            </w:pPr>
            <w:r>
              <w:rPr>
                <w:shd w:val="nil" w:color="auto" w:fill="auto"/>
                <w:rtl w:val="0"/>
                <w:lang w:val="en-US"/>
              </w:rPr>
              <w:t xml:space="preserve">For more information about this topic, please contact </w:t>
            </w:r>
            <w:r>
              <w:rPr>
                <w:shd w:val="nil" w:color="auto" w:fill="auto"/>
                <w:rtl w:val="0"/>
                <w:lang w:val="en-US"/>
              </w:rPr>
              <w:t xml:space="preserve">Rhiannon </w:t>
            </w:r>
            <w:r>
              <w:rPr>
                <w:shd w:val="nil" w:color="auto" w:fill="auto"/>
                <w:rtl w:val="0"/>
                <w:lang w:val="en-US"/>
              </w:rPr>
              <w:t>“</w:t>
            </w:r>
            <w:r>
              <w:rPr>
                <w:shd w:val="nil" w:color="auto" w:fill="auto"/>
                <w:rtl w:val="0"/>
                <w:lang w:val="en-US"/>
              </w:rPr>
              <w:t>Nikki</w:t>
            </w:r>
            <w:r>
              <w:rPr>
                <w:shd w:val="nil" w:color="auto" w:fill="auto"/>
                <w:rtl w:val="0"/>
                <w:lang w:val="en-US"/>
              </w:rPr>
              <w:t xml:space="preserve">” </w:t>
            </w:r>
            <w:r>
              <w:rPr>
                <w:shd w:val="nil" w:color="auto" w:fill="auto"/>
                <w:rtl w:val="0"/>
                <w:lang w:val="en-US"/>
              </w:rPr>
              <w:t>McFarling</w:t>
            </w:r>
            <w:r>
              <w:rPr>
                <w:shd w:val="nil" w:color="auto" w:fill="auto"/>
                <w:rtl w:val="0"/>
                <w:lang w:val="en-US"/>
              </w:rPr>
              <w:t xml:space="preserve"> by calling (561) 510-6454, or e-mail </w:t>
            </w:r>
            <w:r>
              <w:rPr>
                <w:shd w:val="nil" w:color="auto" w:fill="auto"/>
                <w:rtl w:val="0"/>
                <w:lang w:val="en-US"/>
              </w:rPr>
              <w:t>Nikki</w:t>
            </w:r>
            <w:r>
              <w:rPr>
                <w:shd w:val="nil" w:color="auto" w:fill="auto"/>
                <w:rtl w:val="0"/>
                <w:lang w:val="en-US"/>
              </w:rPr>
              <w:t xml:space="preserve"> at </w:t>
            </w:r>
            <w:r>
              <w:rPr>
                <w:shd w:val="nil" w:color="auto" w:fill="auto"/>
                <w:rtl w:val="0"/>
                <w:lang w:val="en-US"/>
              </w:rPr>
              <w:t>NikkiMcFarling@gmail.com</w:t>
            </w:r>
            <w:r>
              <w:rPr>
                <w:shd w:val="nil" w:color="auto" w:fill="auto"/>
                <w:rtl w:val="0"/>
                <w:lang w:val="en-US"/>
              </w:rPr>
              <w:t>.</w:t>
            </w:r>
          </w:p>
        </w:tc>
      </w:tr>
    </w:tbl>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jc w:val="center"/>
      </w:pPr>
      <w:r>
        <w:drawing xmlns:a="http://schemas.openxmlformats.org/drawingml/2006/main">
          <wp:anchor distT="152400" distB="152400" distL="152400" distR="152400" simplePos="0" relativeHeight="251659264" behindDoc="0" locked="0" layoutInCell="1" allowOverlap="1">
            <wp:simplePos x="0" y="0"/>
            <wp:positionH relativeFrom="page">
              <wp:posOffset>646564</wp:posOffset>
            </wp:positionH>
            <wp:positionV relativeFrom="page">
              <wp:posOffset>74246</wp:posOffset>
            </wp:positionV>
            <wp:extent cx="6479271" cy="10034563"/>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4">
                      <a:extLst/>
                    </a:blip>
                    <a:stretch>
                      <a:fillRect/>
                    </a:stretch>
                  </pic:blipFill>
                  <pic:spPr>
                    <a:xfrm>
                      <a:off x="0" y="0"/>
                      <a:ext cx="6479271" cy="10034563"/>
                    </a:xfrm>
                    <a:prstGeom prst="rect">
                      <a:avLst/>
                    </a:prstGeom>
                    <a:ln w="12700" cap="flat">
                      <a:noFill/>
                      <a:miter lim="400000"/>
                    </a:ln>
                    <a:effectLst/>
                  </pic:spPr>
                </pic:pic>
              </a:graphicData>
            </a:graphic>
          </wp:anchor>
        </w:drawing>
      </w: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p>
    <w:p>
      <w:pPr>
        <w:pStyle w:val="normal.0"/>
        <w:widowControl w:val="0"/>
        <w:spacing w:before="0" w:after="0"/>
        <w:ind w:left="0" w:right="0" w:firstLine="0"/>
      </w:pPr>
      <w:r>
        <w:br w:type="textWrapping"/>
      </w:r>
      <w:r>
        <w:br w:type="page"/>
      </w:r>
    </w:p>
    <w:p>
      <w:pPr>
        <w:pStyle w:val="normal.0"/>
        <w:widowControl w:val="0"/>
        <w:spacing w:before="0" w:after="0"/>
        <w:ind w:left="0" w:right="0" w:firstLine="0"/>
      </w:pPr>
      <w:r>
        <w:drawing xmlns:a="http://schemas.openxmlformats.org/drawingml/2006/main">
          <wp:anchor distT="152400" distB="152400" distL="152400" distR="152400" simplePos="0" relativeHeight="251660288" behindDoc="0" locked="0" layoutInCell="1" allowOverlap="1">
            <wp:simplePos x="0" y="0"/>
            <wp:positionH relativeFrom="page">
              <wp:posOffset>591468</wp:posOffset>
            </wp:positionH>
            <wp:positionV relativeFrom="page">
              <wp:posOffset>734747</wp:posOffset>
            </wp:positionV>
            <wp:extent cx="6589464" cy="8588906"/>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5">
                      <a:extLst/>
                    </a:blip>
                    <a:stretch>
                      <a:fillRect/>
                    </a:stretch>
                  </pic:blipFill>
                  <pic:spPr>
                    <a:xfrm>
                      <a:off x="0" y="0"/>
                      <a:ext cx="6589464" cy="8588906"/>
                    </a:xfrm>
                    <a:prstGeom prst="rect">
                      <a:avLst/>
                    </a:prstGeom>
                    <a:ln w="12700" cap="flat">
                      <a:noFill/>
                      <a:miter lim="400000"/>
                    </a:ln>
                    <a:effectLst/>
                  </pic:spPr>
                </pic:pic>
              </a:graphicData>
            </a:graphic>
          </wp:anchor>
        </w:drawing>
      </w:r>
      <w:r>
        <w:br w:type="page"/>
      </w:r>
    </w:p>
    <w:p>
      <w:pPr>
        <w:pStyle w:val="normal.0"/>
        <w:widowControl w:val="0"/>
        <w:spacing w:before="0" w:after="0"/>
        <w:ind w:left="0" w:right="0" w:firstLine="0"/>
      </w:pPr>
      <w:r>
        <w:drawing xmlns:a="http://schemas.openxmlformats.org/drawingml/2006/main">
          <wp:anchor distT="152400" distB="152400" distL="152400" distR="152400" simplePos="0" relativeHeight="251661312" behindDoc="0" locked="0" layoutInCell="1" allowOverlap="1">
            <wp:simplePos x="0" y="0"/>
            <wp:positionH relativeFrom="page">
              <wp:posOffset>609137</wp:posOffset>
            </wp:positionH>
            <wp:positionV relativeFrom="page">
              <wp:posOffset>12700</wp:posOffset>
            </wp:positionV>
            <wp:extent cx="6570718" cy="10058400"/>
            <wp:effectExtent l="0" t="0" r="0" b="0"/>
            <wp:wrapNone/>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6">
                      <a:extLst/>
                    </a:blip>
                    <a:stretch>
                      <a:fillRect/>
                    </a:stretch>
                  </pic:blipFill>
                  <pic:spPr>
                    <a:xfrm>
                      <a:off x="0" y="0"/>
                      <a:ext cx="6570718" cy="10058400"/>
                    </a:xfrm>
                    <a:prstGeom prst="rect">
                      <a:avLst/>
                    </a:prstGeom>
                    <a:ln w="12700" cap="flat">
                      <a:noFill/>
                      <a:miter lim="400000"/>
                    </a:ln>
                    <a:effectLst/>
                  </pic:spPr>
                </pic:pic>
              </a:graphicData>
            </a:graphic>
          </wp:anchor>
        </w:drawing>
      </w:r>
    </w:p>
    <w:sectPr>
      <w:headerReference w:type="default" r:id="rId7"/>
      <w:footerReference w:type="default" r:id="rId8"/>
      <w:pgSz w:w="12240" w:h="15840" w:orient="portrait"/>
      <w:pgMar w:top="720" w:right="1080" w:bottom="720" w:left="108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Verdan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6"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90" w:after="90" w:line="240" w:lineRule="auto"/>
      <w:ind w:left="90" w:right="90" w:firstLine="0"/>
      <w:jc w:val="left"/>
      <w:outlineLvl w:val="9"/>
    </w:pPr>
    <w:rPr>
      <w:rFonts w:ascii="Verdana" w:cs="Arial Unicode MS" w:hAnsi="Verdana"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